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EB9" w:rsidRPr="005A1BDC" w:rsidRDefault="00E66EB9" w:rsidP="00E66EB9">
      <w:pPr>
        <w:spacing w:line="240" w:lineRule="auto"/>
        <w:ind w:right="-71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Par1"/>
      <w:bookmarkEnd w:id="0"/>
      <w:r w:rsidRPr="005A1BDC">
        <w:rPr>
          <w:rFonts w:ascii="Times New Roman" w:eastAsia="Calibri" w:hAnsi="Times New Roman" w:cs="Times New Roman"/>
          <w:b/>
          <w:sz w:val="24"/>
          <w:szCs w:val="24"/>
        </w:rPr>
        <w:t>ДУМА</w:t>
      </w:r>
    </w:p>
    <w:p w:rsidR="00E66EB9" w:rsidRPr="005A1BDC" w:rsidRDefault="00E66EB9" w:rsidP="00E66EB9">
      <w:pPr>
        <w:spacing w:line="240" w:lineRule="auto"/>
        <w:ind w:right="-71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A1BDC">
        <w:rPr>
          <w:rFonts w:ascii="Times New Roman" w:eastAsia="Calibri" w:hAnsi="Times New Roman" w:cs="Times New Roman"/>
          <w:b/>
          <w:sz w:val="24"/>
          <w:szCs w:val="24"/>
        </w:rPr>
        <w:t>МУНИЦИПАЛЬНОГО ОБРАЗОВАНИЯ «</w:t>
      </w:r>
      <w:r>
        <w:rPr>
          <w:rFonts w:ascii="Times New Roman" w:hAnsi="Times New Roman" w:cs="Times New Roman"/>
          <w:b/>
          <w:sz w:val="24"/>
          <w:szCs w:val="24"/>
        </w:rPr>
        <w:t>КУРУМЧИНСКИЙ</w:t>
      </w:r>
      <w:r w:rsidRPr="005A1BDC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66EB9" w:rsidRPr="005A1BDC" w:rsidRDefault="00E66EB9" w:rsidP="00E66EB9">
      <w:pPr>
        <w:spacing w:line="240" w:lineRule="auto"/>
        <w:ind w:right="-71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A1BDC">
        <w:rPr>
          <w:rFonts w:ascii="Times New Roman" w:eastAsia="Calibri" w:hAnsi="Times New Roman" w:cs="Times New Roman"/>
          <w:sz w:val="24"/>
          <w:szCs w:val="24"/>
        </w:rPr>
        <w:t>ИРКУТСКОЙ ОБЛАСТИ</w:t>
      </w:r>
    </w:p>
    <w:p w:rsidR="00E66EB9" w:rsidRPr="005A1BDC" w:rsidRDefault="00E66EB9" w:rsidP="00E66EB9">
      <w:pPr>
        <w:pStyle w:val="1"/>
        <w:ind w:right="-716"/>
        <w:rPr>
          <w:szCs w:val="24"/>
        </w:rPr>
      </w:pPr>
    </w:p>
    <w:p w:rsidR="00E66EB9" w:rsidRPr="005A1BDC" w:rsidRDefault="00E66EB9" w:rsidP="00E66EB9">
      <w:pPr>
        <w:pStyle w:val="1"/>
        <w:ind w:right="-716"/>
        <w:rPr>
          <w:szCs w:val="24"/>
        </w:rPr>
      </w:pPr>
      <w:r w:rsidRPr="005A1BDC">
        <w:rPr>
          <w:szCs w:val="24"/>
        </w:rPr>
        <w:t xml:space="preserve">РЕШЕНИЕ </w:t>
      </w:r>
    </w:p>
    <w:p w:rsidR="00E66EB9" w:rsidRPr="005A1BDC" w:rsidRDefault="00E66EB9" w:rsidP="00E66EB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6EB9" w:rsidRPr="005A1BDC" w:rsidRDefault="00E66EB9" w:rsidP="00E66EB9">
      <w:pPr>
        <w:pStyle w:val="1"/>
        <w:ind w:right="-716"/>
        <w:rPr>
          <w:szCs w:val="24"/>
        </w:rPr>
      </w:pPr>
      <w:r w:rsidRPr="005A1BDC">
        <w:rPr>
          <w:szCs w:val="24"/>
        </w:rPr>
        <w:t xml:space="preserve">от </w:t>
      </w:r>
      <w:r>
        <w:rPr>
          <w:szCs w:val="24"/>
        </w:rPr>
        <w:t>25 ноября</w:t>
      </w:r>
      <w:r w:rsidRPr="005A1BDC">
        <w:rPr>
          <w:szCs w:val="24"/>
        </w:rPr>
        <w:t xml:space="preserve"> 2014 г. № _</w:t>
      </w:r>
      <w:r>
        <w:rPr>
          <w:szCs w:val="24"/>
        </w:rPr>
        <w:t>25</w:t>
      </w:r>
    </w:p>
    <w:p w:rsidR="00E66EB9" w:rsidRPr="005A1BDC" w:rsidRDefault="00E66EB9" w:rsidP="00E66EB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1BDC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ПОЛОЖЕНИЯ О ЗЕМЕЛЬНОМ НАЛОГЕ 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A1BDC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МУНИЦИПАЛЬНОГО ОБРАЗОВАНИЯ </w:t>
      </w:r>
      <w:r w:rsidRPr="005A1BDC"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КУРУМЧИНСКИЙ</w:t>
      </w:r>
      <w:r w:rsidRPr="005A1BDC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5" w:history="1">
        <w:r w:rsidRPr="005A1BDC">
          <w:rPr>
            <w:rFonts w:ascii="Times New Roman" w:hAnsi="Times New Roman" w:cs="Times New Roman"/>
            <w:sz w:val="24"/>
            <w:szCs w:val="24"/>
          </w:rPr>
          <w:t>ст.ст. 5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5A1BDC">
          <w:rPr>
            <w:rFonts w:ascii="Times New Roman" w:hAnsi="Times New Roman" w:cs="Times New Roman"/>
            <w:sz w:val="24"/>
            <w:szCs w:val="24"/>
          </w:rPr>
          <w:t>12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5A1BDC">
          <w:rPr>
            <w:rFonts w:ascii="Times New Roman" w:hAnsi="Times New Roman" w:cs="Times New Roman"/>
            <w:sz w:val="24"/>
            <w:szCs w:val="24"/>
          </w:rPr>
          <w:t>15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5A1BDC">
          <w:rPr>
            <w:rFonts w:ascii="Times New Roman" w:hAnsi="Times New Roman" w:cs="Times New Roman"/>
            <w:sz w:val="24"/>
            <w:szCs w:val="24"/>
          </w:rPr>
          <w:t>главой 31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</w:t>
      </w:r>
      <w:hyperlink r:id="rId9" w:history="1">
        <w:r w:rsidRPr="005A1BDC">
          <w:rPr>
            <w:rFonts w:ascii="Times New Roman" w:hAnsi="Times New Roman" w:cs="Times New Roman"/>
            <w:sz w:val="24"/>
            <w:szCs w:val="24"/>
          </w:rPr>
          <w:t>ст.ст. 14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Pr="005A1BDC">
          <w:rPr>
            <w:rFonts w:ascii="Times New Roman" w:hAnsi="Times New Roman" w:cs="Times New Roman"/>
            <w:sz w:val="24"/>
            <w:szCs w:val="24"/>
          </w:rPr>
          <w:t>17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5A1BDC">
          <w:rPr>
            <w:rFonts w:ascii="Times New Roman" w:hAnsi="Times New Roman" w:cs="Times New Roman"/>
            <w:sz w:val="24"/>
            <w:szCs w:val="24"/>
          </w:rPr>
          <w:t>35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ст.ст. 24, 44 Устава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5A1BDC">
        <w:rPr>
          <w:rFonts w:ascii="Times New Roman" w:hAnsi="Times New Roman" w:cs="Times New Roman"/>
          <w:sz w:val="24"/>
          <w:szCs w:val="24"/>
        </w:rPr>
        <w:t xml:space="preserve">», 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ДУМА РЕШИЛА: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1. Установить и ввести в действие земельный налог на территории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5A1BDC">
        <w:rPr>
          <w:rFonts w:ascii="Times New Roman" w:hAnsi="Times New Roman" w:cs="Times New Roman"/>
          <w:sz w:val="24"/>
          <w:szCs w:val="24"/>
        </w:rPr>
        <w:t>».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ar38" w:history="1">
        <w:r w:rsidRPr="005A1BDC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 о земельном налоге на территории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5A1BDC">
        <w:rPr>
          <w:rFonts w:ascii="Times New Roman" w:hAnsi="Times New Roman" w:cs="Times New Roman"/>
          <w:sz w:val="24"/>
          <w:szCs w:val="24"/>
        </w:rPr>
        <w:t>» (прилагается).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3. Опубликовать настоящее Решение в газете «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A1BDC">
        <w:rPr>
          <w:rFonts w:ascii="Times New Roman" w:hAnsi="Times New Roman" w:cs="Times New Roman"/>
          <w:sz w:val="24"/>
          <w:szCs w:val="24"/>
        </w:rPr>
        <w:t>естник</w:t>
      </w:r>
      <w:r>
        <w:rPr>
          <w:rFonts w:ascii="Times New Roman" w:hAnsi="Times New Roman" w:cs="Times New Roman"/>
          <w:sz w:val="24"/>
          <w:szCs w:val="24"/>
        </w:rPr>
        <w:t xml:space="preserve"> МО «Курумчинский</w:t>
      </w:r>
      <w:r w:rsidRPr="005A1BDC">
        <w:rPr>
          <w:rFonts w:ascii="Times New Roman" w:hAnsi="Times New Roman" w:cs="Times New Roman"/>
          <w:sz w:val="24"/>
          <w:szCs w:val="24"/>
        </w:rPr>
        <w:t xml:space="preserve">»», а также на официальном сайте муниципального образования «Баяндаевский район» в информационно-телекоммуникационной сети «Интернет». </w:t>
      </w:r>
    </w:p>
    <w:p w:rsidR="00E66EB9" w:rsidRPr="005A1BDC" w:rsidRDefault="00E66EB9" w:rsidP="00E66EB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4. Настоящее Решение вступает силу по истечении одного месяца с момента официального опубликования, но не ранее 1 января 2015 года.</w:t>
      </w:r>
    </w:p>
    <w:p w:rsidR="00E66EB9" w:rsidRPr="005A1BDC" w:rsidRDefault="00E66EB9" w:rsidP="00E66EB9">
      <w:pPr>
        <w:pStyle w:val="a3"/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Признать утратившим силу Положение о земельном налоге на территории МО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5A1BDC">
        <w:rPr>
          <w:rFonts w:ascii="Times New Roman" w:hAnsi="Times New Roman" w:cs="Times New Roman"/>
          <w:sz w:val="24"/>
          <w:szCs w:val="24"/>
        </w:rPr>
        <w:t>», утвержденное Решением Думы от</w:t>
      </w:r>
      <w:r w:rsidRPr="009577E5">
        <w:rPr>
          <w:rFonts w:ascii="Times New Roman" w:hAnsi="Times New Roman" w:cs="Times New Roman"/>
          <w:sz w:val="24"/>
          <w:szCs w:val="24"/>
        </w:rPr>
        <w:t xml:space="preserve">   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577E5">
        <w:rPr>
          <w:rFonts w:ascii="Times New Roman" w:hAnsi="Times New Roman" w:cs="Times New Roman"/>
          <w:sz w:val="24"/>
          <w:szCs w:val="24"/>
        </w:rPr>
        <w:t>.11. 2013 г №.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E66EB9" w:rsidRPr="005A1BDC" w:rsidRDefault="00E66EB9" w:rsidP="00E66EB9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 xml:space="preserve">6. Направить настоящее Решение в </w:t>
      </w:r>
      <w:proofErr w:type="gramStart"/>
      <w:r w:rsidRPr="005A1BDC">
        <w:rPr>
          <w:rFonts w:ascii="Times New Roman" w:hAnsi="Times New Roman" w:cs="Times New Roman"/>
          <w:sz w:val="24"/>
          <w:szCs w:val="24"/>
        </w:rPr>
        <w:t>межрайонную</w:t>
      </w:r>
      <w:proofErr w:type="gramEnd"/>
      <w:r w:rsidRPr="005A1BDC">
        <w:rPr>
          <w:rFonts w:ascii="Times New Roman" w:hAnsi="Times New Roman" w:cs="Times New Roman"/>
          <w:sz w:val="24"/>
          <w:szCs w:val="24"/>
        </w:rPr>
        <w:t xml:space="preserve"> ИФНС России N 16 </w:t>
      </w:r>
      <w:r w:rsidRPr="005A1BDC">
        <w:rPr>
          <w:rFonts w:ascii="Times New Roman" w:eastAsia="Times New Roman" w:hAnsi="Times New Roman" w:cs="Times New Roman"/>
          <w:sz w:val="24"/>
          <w:szCs w:val="24"/>
        </w:rPr>
        <w:t xml:space="preserve"> по Иркутской области, Министерство финансов Иркутской области.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6EB9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Председатель Думы МО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5A1BDC">
        <w:rPr>
          <w:rFonts w:ascii="Times New Roman" w:hAnsi="Times New Roman" w:cs="Times New Roman"/>
          <w:sz w:val="24"/>
          <w:szCs w:val="24"/>
        </w:rPr>
        <w:t xml:space="preserve">»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Бутуханова К.А.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Глава МО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5A1BDC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Сахаев В.Г.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32"/>
      <w:bookmarkEnd w:id="1"/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к решению Думы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5A1BDC">
        <w:rPr>
          <w:rFonts w:ascii="Times New Roman" w:hAnsi="Times New Roman" w:cs="Times New Roman"/>
          <w:sz w:val="24"/>
          <w:szCs w:val="24"/>
        </w:rPr>
        <w:t>»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5A1BDC">
        <w:rPr>
          <w:rFonts w:ascii="Times New Roman" w:hAnsi="Times New Roman" w:cs="Times New Roman"/>
          <w:sz w:val="24"/>
          <w:szCs w:val="24"/>
        </w:rPr>
        <w:t xml:space="preserve"> ноября 2014 года N </w:t>
      </w:r>
      <w:r>
        <w:rPr>
          <w:rFonts w:ascii="Times New Roman" w:hAnsi="Times New Roman" w:cs="Times New Roman"/>
          <w:sz w:val="24"/>
          <w:szCs w:val="24"/>
        </w:rPr>
        <w:t>25</w:t>
      </w:r>
      <w:bookmarkStart w:id="2" w:name="_GoBack"/>
      <w:bookmarkEnd w:id="2"/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Par38"/>
      <w:bookmarkEnd w:id="3"/>
      <w:r w:rsidRPr="005A1BDC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1BDC">
        <w:rPr>
          <w:rFonts w:ascii="Times New Roman" w:hAnsi="Times New Roman" w:cs="Times New Roman"/>
          <w:b/>
          <w:bCs/>
          <w:sz w:val="24"/>
          <w:szCs w:val="24"/>
        </w:rPr>
        <w:t xml:space="preserve">О ЗЕМЕЛЬНОМ НАЛОГЕ НА ТЕРРИТОРИИ </w:t>
      </w:r>
      <w:proofErr w:type="gramStart"/>
      <w:r w:rsidRPr="005A1BDC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proofErr w:type="gramEnd"/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1BDC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ОБРАЗОВАНИЯ </w:t>
      </w:r>
      <w:r w:rsidRPr="005A1BDC"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КУРУМЧИНСКИЙ</w:t>
      </w:r>
      <w:r w:rsidRPr="005A1BDC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BDC">
        <w:rPr>
          <w:rFonts w:ascii="Times New Roman" w:hAnsi="Times New Roman" w:cs="Times New Roman"/>
          <w:sz w:val="24"/>
          <w:szCs w:val="24"/>
        </w:rPr>
        <w:t xml:space="preserve">Настоящее Положение в соответствии с </w:t>
      </w:r>
      <w:hyperlink r:id="rId12" w:history="1">
        <w:r w:rsidRPr="005A1BDC">
          <w:rPr>
            <w:rFonts w:ascii="Times New Roman" w:hAnsi="Times New Roman" w:cs="Times New Roman"/>
            <w:sz w:val="24"/>
            <w:szCs w:val="24"/>
          </w:rPr>
          <w:t>главой 31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 определяет на территории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5A1BDC">
        <w:rPr>
          <w:rFonts w:ascii="Times New Roman" w:hAnsi="Times New Roman" w:cs="Times New Roman"/>
          <w:sz w:val="24"/>
          <w:szCs w:val="24"/>
        </w:rPr>
        <w:t xml:space="preserve">» ставки земельного налога (далее - налог) в пределах, установленных Налоговым </w:t>
      </w:r>
      <w:hyperlink r:id="rId13" w:history="1">
        <w:r w:rsidRPr="005A1BD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 Российской Федерации, порядок и сроки уплаты налога, в том числе авансовые платежи, налоговые льготы, основания и порядок их применения, включая размер не облагаемой налогом суммы для отдельных категорий налогоплательщиков, порядок и сроки представления</w:t>
      </w:r>
      <w:proofErr w:type="gramEnd"/>
      <w:r w:rsidRPr="005A1BDC">
        <w:rPr>
          <w:rFonts w:ascii="Times New Roman" w:hAnsi="Times New Roman" w:cs="Times New Roman"/>
          <w:sz w:val="24"/>
          <w:szCs w:val="24"/>
        </w:rPr>
        <w:t xml:space="preserve"> налогоплательщиками документов, подтверждающих право на уменьшение налоговой базы.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ar47"/>
      <w:bookmarkEnd w:id="4"/>
      <w:r w:rsidRPr="005A1BDC">
        <w:rPr>
          <w:rFonts w:ascii="Times New Roman" w:hAnsi="Times New Roman" w:cs="Times New Roman"/>
          <w:sz w:val="24"/>
          <w:szCs w:val="24"/>
        </w:rPr>
        <w:t>1. НАЛОГОПЛАТЕЛЬЩИКИ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5A1BDC">
        <w:rPr>
          <w:rFonts w:ascii="Times New Roman" w:hAnsi="Times New Roman" w:cs="Times New Roman"/>
          <w:sz w:val="24"/>
          <w:szCs w:val="24"/>
        </w:rPr>
        <w:t>Налогоплательщиками налога (далее - налогоплательщики) признаются организации и физические лица, обладающие земельными участками, признаваемыми объектом налогообложения в соответствии со статьей 389 НК РФ на праве собственности, праве постоянного (бессрочного) пользования или праве пожизненного наследуемого владения, расположенными в пределах границ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5A1BDC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1.2. Не признаются налогоплательщиками организации и физические лица в отношении земельных участков, находящихся у них на праве безвозмездного срочного пользования или переданных им по договору аренды.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ar52"/>
      <w:bookmarkEnd w:id="5"/>
      <w:r w:rsidRPr="005A1BDC">
        <w:rPr>
          <w:rFonts w:ascii="Times New Roman" w:hAnsi="Times New Roman" w:cs="Times New Roman"/>
          <w:sz w:val="24"/>
          <w:szCs w:val="24"/>
        </w:rPr>
        <w:t>2. ОБЪЕКТ НАЛОГООБЛОЖЕНИЯ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2.1. Объектом налогообложения признаются земельные участки, расположенные в пределах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5A1BDC">
        <w:rPr>
          <w:rFonts w:ascii="Times New Roman" w:hAnsi="Times New Roman" w:cs="Times New Roman"/>
          <w:sz w:val="24"/>
          <w:szCs w:val="24"/>
        </w:rPr>
        <w:t>».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 xml:space="preserve">2.2. Не признаются объектом налогообложения земельные участки, указанные в </w:t>
      </w:r>
      <w:hyperlink r:id="rId14" w:history="1">
        <w:r w:rsidRPr="005A1BDC">
          <w:rPr>
            <w:rFonts w:ascii="Times New Roman" w:hAnsi="Times New Roman" w:cs="Times New Roman"/>
            <w:sz w:val="24"/>
            <w:szCs w:val="24"/>
          </w:rPr>
          <w:t>пункте 2 статьи 389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ar57"/>
      <w:bookmarkEnd w:id="6"/>
      <w:r w:rsidRPr="005A1BDC">
        <w:rPr>
          <w:rFonts w:ascii="Times New Roman" w:hAnsi="Times New Roman" w:cs="Times New Roman"/>
          <w:sz w:val="24"/>
          <w:szCs w:val="24"/>
        </w:rPr>
        <w:t>3. НАЛОГОВАЯ БАЗА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3.1. Налоговая база определяется как кадастровая стоимость земельных участков, признаваемых объектом налогообложения.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3.2. Кадастровая стоимость земельного участка определяется в соответствии с земельным законодательством Российской Федерации.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Par62"/>
      <w:bookmarkEnd w:id="7"/>
      <w:r w:rsidRPr="005A1BDC">
        <w:rPr>
          <w:rFonts w:ascii="Times New Roman" w:hAnsi="Times New Roman" w:cs="Times New Roman"/>
          <w:sz w:val="24"/>
          <w:szCs w:val="24"/>
        </w:rPr>
        <w:t>4. ПОРЯДОК ОПРЕДЕЛЕНИЯ НАЛОГОВОЙ БАЗЫ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4.1. Налоговая база определяется в отношении каждого земельного участка как его кадастровая стоимость по состоянию на 1 января года, являющегося налоговым периодом.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Налоговая база в отношении доли земельного участка, расположенного в границах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5A1BDC">
        <w:rPr>
          <w:rFonts w:ascii="Times New Roman" w:hAnsi="Times New Roman" w:cs="Times New Roman"/>
          <w:sz w:val="24"/>
          <w:szCs w:val="24"/>
        </w:rPr>
        <w:t xml:space="preserve">», определяется как доля кадастровой стоимости всего земельного участка, пропорциональная указанной доле земельного </w:t>
      </w:r>
      <w:r w:rsidRPr="005A1BDC">
        <w:rPr>
          <w:rFonts w:ascii="Times New Roman" w:hAnsi="Times New Roman" w:cs="Times New Roman"/>
          <w:sz w:val="24"/>
          <w:szCs w:val="24"/>
        </w:rPr>
        <w:lastRenderedPageBreak/>
        <w:t>участка.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4.2 Налоговая база определяется отдельно в отношении долей в праве общей собственности на земельный участок, в отношении которых налогоплательщиками признаются разные лица либо установлены различные налоговые ставки.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67"/>
      <w:bookmarkEnd w:id="8"/>
      <w:r w:rsidRPr="005A1BDC">
        <w:rPr>
          <w:rFonts w:ascii="Times New Roman" w:hAnsi="Times New Roman" w:cs="Times New Roman"/>
          <w:sz w:val="24"/>
          <w:szCs w:val="24"/>
        </w:rPr>
        <w:t>4.3. Налогоплательщики-организации определяют налоговую базу самостоятельно на основании сведений государственного земельного кадастра о каждом земельном участке, принадлежащем им на праве собственности или праве постоянного (бессрочного) пользования.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9" w:name="Par72"/>
      <w:bookmarkEnd w:id="9"/>
      <w:r w:rsidRPr="005A1BDC">
        <w:rPr>
          <w:rFonts w:ascii="Times New Roman" w:hAnsi="Times New Roman" w:cs="Times New Roman"/>
          <w:sz w:val="24"/>
          <w:szCs w:val="24"/>
        </w:rPr>
        <w:t>5. НАЛОГОВЫЙ ПЕРИОД. ОТЧЕТНЫЙ ПЕРИОД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5.1. Налоговым периодом признается календарный год.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5.2. Отчетными периодами для налогоплательщиков - организаций признаются первый квартал, второй квартал, третий квартал календарного года.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0" w:name="Par77"/>
      <w:bookmarkEnd w:id="10"/>
      <w:r w:rsidRPr="005A1BDC">
        <w:rPr>
          <w:rFonts w:ascii="Times New Roman" w:hAnsi="Times New Roman" w:cs="Times New Roman"/>
          <w:sz w:val="24"/>
          <w:szCs w:val="24"/>
        </w:rPr>
        <w:t>6. НАЛОГОВАЯ СТАВКА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6.1. Налоговые ставки устанавливаются в следующих размерах: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1) 0,3 процента в отношении земельных участков: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5A1BDC">
        <w:rPr>
          <w:rFonts w:ascii="Times New Roman" w:hAnsi="Times New Roman" w:cs="Times New Roman"/>
          <w:sz w:val="24"/>
          <w:szCs w:val="24"/>
        </w:rPr>
        <w:t>занятых</w:t>
      </w:r>
      <w:proofErr w:type="gramEnd"/>
      <w:r w:rsidRPr="005A1BDC">
        <w:rPr>
          <w:rFonts w:ascii="Times New Roman" w:hAnsi="Times New Roman" w:cs="Times New Roman"/>
          <w:sz w:val="24"/>
          <w:szCs w:val="24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5A1BDC">
        <w:rPr>
          <w:rFonts w:ascii="Times New Roman" w:hAnsi="Times New Roman" w:cs="Times New Roman"/>
          <w:sz w:val="24"/>
          <w:szCs w:val="24"/>
        </w:rPr>
        <w:t>приобретенных</w:t>
      </w:r>
      <w:proofErr w:type="gramEnd"/>
      <w:r w:rsidRPr="005A1BDC">
        <w:rPr>
          <w:rFonts w:ascii="Times New Roman" w:hAnsi="Times New Roman" w:cs="Times New Roman"/>
          <w:sz w:val="24"/>
          <w:szCs w:val="24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2) 1,5 процента в отношении прочих земельных участков.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1" w:name="Par89"/>
      <w:bookmarkEnd w:id="11"/>
      <w:r w:rsidRPr="005A1BDC">
        <w:rPr>
          <w:rFonts w:ascii="Times New Roman" w:hAnsi="Times New Roman" w:cs="Times New Roman"/>
          <w:sz w:val="24"/>
          <w:szCs w:val="24"/>
        </w:rPr>
        <w:t>7. НАЛОГОВЫЕ ЛЬГОТЫ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7.1. От уплаты земельного налога освобождаются следующие категории налогоплательщиков: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 xml:space="preserve">1) организации и физические лица в соответствии со </w:t>
      </w:r>
      <w:hyperlink r:id="rId15" w:history="1">
        <w:r w:rsidRPr="005A1BDC">
          <w:rPr>
            <w:rFonts w:ascii="Times New Roman" w:hAnsi="Times New Roman" w:cs="Times New Roman"/>
            <w:sz w:val="24"/>
            <w:szCs w:val="24"/>
          </w:rPr>
          <w:t>статьей 395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Федерации;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2) органы местного самоуправления;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3) муниципальные учреждения, финансируемые из бюджета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5A1BDC">
        <w:rPr>
          <w:rFonts w:ascii="Times New Roman" w:hAnsi="Times New Roman" w:cs="Times New Roman"/>
          <w:sz w:val="24"/>
          <w:szCs w:val="24"/>
        </w:rPr>
        <w:t>»;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4) бюджетные учреждения, созданные муниципальным образованием «Баяндаевский район», - в отношении имущества, закрепленного за ними учредителем, либо имущества, приобретенного бюджетными учреждениями за счет средств, выделенных им учредителем на приобретение этого имущества.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98"/>
      <w:bookmarkEnd w:id="12"/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3" w:name="Par122"/>
      <w:bookmarkEnd w:id="13"/>
      <w:r w:rsidRPr="005A1BDC">
        <w:rPr>
          <w:rFonts w:ascii="Times New Roman" w:hAnsi="Times New Roman" w:cs="Times New Roman"/>
          <w:sz w:val="24"/>
          <w:szCs w:val="24"/>
        </w:rPr>
        <w:t>8. ПОРЯДОК И СРОКИ ПРЕДСТАВЛЕНИЯ НАЛОГОПЛАТЕЛЬЩИКАМИ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ДОКУМЕНТОВ, ПОДТВЕРЖДАЮЩИХ ПРАВО НА УМЕНЬШЕНИЕ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НАЛОГОВОЙ БАЗЫ, А ТАКЖЕ ПРАВО НА НАЛОГОВЫЕ ЛЬГОТЫ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lastRenderedPageBreak/>
        <w:t xml:space="preserve">8.1. </w:t>
      </w:r>
      <w:proofErr w:type="gramStart"/>
      <w:r w:rsidRPr="005A1BDC">
        <w:rPr>
          <w:rFonts w:ascii="Times New Roman" w:hAnsi="Times New Roman" w:cs="Times New Roman"/>
          <w:sz w:val="24"/>
          <w:szCs w:val="24"/>
        </w:rPr>
        <w:t xml:space="preserve">Документы, подтверждающие право на уменьшение налоговой базы, а также право на налоговые льготы в соответствии с главой 31 Налогового кодекса Российской Федерации, представляются в налоговый орган по месту нахождения земельного участка, признаваемого объектом налогообложения в соответствии со </w:t>
      </w:r>
      <w:hyperlink r:id="rId16" w:history="1">
        <w:r w:rsidRPr="005A1BDC">
          <w:rPr>
            <w:rFonts w:ascii="Times New Roman" w:hAnsi="Times New Roman" w:cs="Times New Roman"/>
            <w:sz w:val="24"/>
            <w:szCs w:val="24"/>
          </w:rPr>
          <w:t>статьей 389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не позднее 1 февраля года, следующего за истекшим налоговым периодом.</w:t>
      </w:r>
      <w:proofErr w:type="gramEnd"/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4" w:name="Par129"/>
      <w:bookmarkEnd w:id="14"/>
      <w:r w:rsidRPr="005A1BDC">
        <w:rPr>
          <w:rFonts w:ascii="Times New Roman" w:hAnsi="Times New Roman" w:cs="Times New Roman"/>
          <w:sz w:val="24"/>
          <w:szCs w:val="24"/>
        </w:rPr>
        <w:t>9. ПОРЯДОК ИСЧИСЛЕНИЯ НАЛОГА И АВАНСОВЫХ ПЛАТЕЖЕЙ ПО НАЛОГУ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 xml:space="preserve">9.1. Порядок исчисления налога и авансовых платежей по налогу установлен </w:t>
      </w:r>
      <w:hyperlink r:id="rId17" w:history="1">
        <w:r w:rsidRPr="005A1BDC">
          <w:rPr>
            <w:rFonts w:ascii="Times New Roman" w:hAnsi="Times New Roman" w:cs="Times New Roman"/>
            <w:sz w:val="24"/>
            <w:szCs w:val="24"/>
          </w:rPr>
          <w:t>статьей 396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5" w:name="Par133"/>
      <w:bookmarkEnd w:id="15"/>
      <w:r w:rsidRPr="005A1BDC">
        <w:rPr>
          <w:rFonts w:ascii="Times New Roman" w:hAnsi="Times New Roman" w:cs="Times New Roman"/>
          <w:sz w:val="24"/>
          <w:szCs w:val="24"/>
        </w:rPr>
        <w:t>10. ПОРЯДОК И СРОКИ УПЛАТЫ НАЛОГА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И АВАНСОВЫХ ПЛАТЕЖЕЙ ПО НАЛОГУ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 xml:space="preserve">10.1. Срок уплаты налога для налогоплательщиков - физических лиц установлен не позднее 1 октября года, следующего за истекшим налоговым периодом. 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10.2. Налог, подлежащий уплате по истечении налогового периода, уплачивается налогоплательщиками - организациями не позднее 5 февраля года, следующего за истекшим налоговым периодом.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 xml:space="preserve">10.3. В течение налогового периода налогоплательщики - организации уплачивают авансовые платежи по налогу не позднее последнего числа месяца отчетного периода, т.е. не позднее 31 марта, 30 июня, 30 сентября. По истечении налогового периода налогоплательщики - организации уплачивают сумму налога, исчисленную в порядке, предусмотренном </w:t>
      </w:r>
      <w:hyperlink r:id="rId18" w:history="1">
        <w:r w:rsidRPr="005A1BDC">
          <w:rPr>
            <w:rFonts w:ascii="Times New Roman" w:hAnsi="Times New Roman" w:cs="Times New Roman"/>
            <w:sz w:val="24"/>
            <w:szCs w:val="24"/>
          </w:rPr>
          <w:t>пунктом 5 статьи 396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10.4. Налог и авансовые платежи по налогу уплачиваются налогоплательщиками - организациями в бюджет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5A1BDC">
        <w:rPr>
          <w:rFonts w:ascii="Times New Roman" w:hAnsi="Times New Roman" w:cs="Times New Roman"/>
          <w:sz w:val="24"/>
          <w:szCs w:val="24"/>
        </w:rPr>
        <w:t xml:space="preserve">» по месту нахождения земельных участков, признаваемых объектом налогообложения в соответствии со </w:t>
      </w:r>
      <w:hyperlink r:id="rId19" w:history="1">
        <w:r w:rsidRPr="005A1BDC">
          <w:rPr>
            <w:rFonts w:ascii="Times New Roman" w:hAnsi="Times New Roman" w:cs="Times New Roman"/>
            <w:sz w:val="24"/>
            <w:szCs w:val="24"/>
          </w:rPr>
          <w:t>статьей 389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</w:p>
    <w:p w:rsidR="00E66EB9" w:rsidRPr="005A1BDC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BDC">
        <w:rPr>
          <w:rFonts w:ascii="Times New Roman" w:hAnsi="Times New Roman" w:cs="Times New Roman"/>
          <w:sz w:val="24"/>
          <w:szCs w:val="24"/>
        </w:rPr>
        <w:t>10.5. Сумма налога, подлежащая уплате в бюджет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5A1BDC">
        <w:rPr>
          <w:rFonts w:ascii="Times New Roman" w:hAnsi="Times New Roman" w:cs="Times New Roman"/>
          <w:sz w:val="24"/>
          <w:szCs w:val="24"/>
        </w:rPr>
        <w:t xml:space="preserve">» налогоплательщиками - организациями по итогам налогового периода, определяется как разница между суммой налога, исчисленной в соответствии с </w:t>
      </w:r>
      <w:hyperlink r:id="rId20" w:history="1">
        <w:r w:rsidRPr="005A1BDC">
          <w:rPr>
            <w:rFonts w:ascii="Times New Roman" w:hAnsi="Times New Roman" w:cs="Times New Roman"/>
            <w:sz w:val="24"/>
            <w:szCs w:val="24"/>
          </w:rPr>
          <w:t>пунктом 1 статьи 396</w:t>
        </w:r>
      </w:hyperlink>
      <w:r w:rsidRPr="005A1BDC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и суммами подлежащих уплате в течение налогового периода авансовых платежей по налогу.</w:t>
      </w:r>
    </w:p>
    <w:p w:rsidR="00E66EB9" w:rsidRPr="00160C23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160C23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6" w:name="Par143"/>
      <w:bookmarkEnd w:id="16"/>
      <w:r w:rsidRPr="00160C23">
        <w:rPr>
          <w:rFonts w:ascii="Times New Roman" w:hAnsi="Times New Roman" w:cs="Times New Roman"/>
          <w:sz w:val="24"/>
          <w:szCs w:val="24"/>
        </w:rPr>
        <w:t>11. НАЛОГОВАЯ ДЕКЛАРАЦИЯ</w:t>
      </w:r>
    </w:p>
    <w:p w:rsidR="00E66EB9" w:rsidRPr="00160C23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160C23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0C23">
        <w:rPr>
          <w:rFonts w:ascii="Times New Roman" w:hAnsi="Times New Roman" w:cs="Times New Roman"/>
          <w:sz w:val="24"/>
          <w:szCs w:val="24"/>
        </w:rPr>
        <w:t>11.1. Налогоплательщики - организации по истечении налогового периода представляют в налоговый орган по месту нахождения земельного участка налоговую декларацию по налогу.</w:t>
      </w:r>
    </w:p>
    <w:p w:rsidR="00E66EB9" w:rsidRPr="00160C23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160C23" w:rsidRDefault="00E66EB9" w:rsidP="00E66E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EB9" w:rsidRPr="00160C23" w:rsidRDefault="00E66EB9" w:rsidP="00E66EB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6EB9" w:rsidRPr="00160C23" w:rsidRDefault="00E66EB9" w:rsidP="00E66E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552C0" w:rsidRDefault="007552C0"/>
    <w:sectPr w:rsidR="007552C0" w:rsidSect="000B2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0E6C2B"/>
    <w:multiLevelType w:val="hybridMultilevel"/>
    <w:tmpl w:val="81F41456"/>
    <w:lvl w:ilvl="0" w:tplc="A630F188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6EB9"/>
    <w:rsid w:val="007552C0"/>
    <w:rsid w:val="00E66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EB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66EB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6EB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E66E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66E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6B0611561FEDB6FB121CC3BA2A853112240F3B32631E7723679CE230D0A67B8176AE7BBD85h0pEB" TargetMode="External"/><Relationship Id="rId13" Type="http://schemas.openxmlformats.org/officeDocument/2006/relationships/hyperlink" Target="consultantplus://offline/ref=896B0611561FEDB6FB121CC3BA2A853112240F3B3A641E7723679CE230hDp0B" TargetMode="External"/><Relationship Id="rId18" Type="http://schemas.openxmlformats.org/officeDocument/2006/relationships/hyperlink" Target="consultantplus://offline/ref=896B0611561FEDB6FB121CC3BA2A853112240F3B32631E7723679CE230D0A67B8176AE7FB683h0pBB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896B0611561FEDB6FB121CC3BA2A853112240F3B3A641E7723679CE230D0A67B8176AE72hBpEB" TargetMode="External"/><Relationship Id="rId12" Type="http://schemas.openxmlformats.org/officeDocument/2006/relationships/hyperlink" Target="consultantplus://offline/ref=896B0611561FEDB6FB121CC3BA2A853112240F3B32631E7723679CE230D0A67B8176AE7BBD85h0pDB" TargetMode="External"/><Relationship Id="rId17" Type="http://schemas.openxmlformats.org/officeDocument/2006/relationships/hyperlink" Target="consultantplus://offline/ref=896B0611561FEDB6FB121CC3BA2A853112240F3B32631E7723679CE230D0A67B8176AE7BBA80h0p9B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96B0611561FEDB6FB121CC3BA2A853112240F3B32631E7723679CE230D0A67B8176AE7BBD84h0pCB" TargetMode="External"/><Relationship Id="rId20" Type="http://schemas.openxmlformats.org/officeDocument/2006/relationships/hyperlink" Target="consultantplus://offline/ref=896B0611561FEDB6FB121CC3BA2A853112240F3B32631E7723679CE230D0A67B8176AE7BBA80h0pAB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6B0611561FEDB6FB121CC3BA2A853112240F3B3A641E7723679CE230D0A67B8176AE7FhBpDB" TargetMode="External"/><Relationship Id="rId11" Type="http://schemas.openxmlformats.org/officeDocument/2006/relationships/hyperlink" Target="consultantplus://offline/ref=896B0611561FEDB6FB121CC3BA2A853112240E3A326A1E7723679CE230D0A67B8176AE7BBE810B70hDpFB" TargetMode="External"/><Relationship Id="rId5" Type="http://schemas.openxmlformats.org/officeDocument/2006/relationships/hyperlink" Target="consultantplus://offline/ref=896B0611561FEDB6FB121CC3BA2A853112240F3B3A641E7723679CE230D0A67B8176AE7BBE81087DhDpBB" TargetMode="External"/><Relationship Id="rId15" Type="http://schemas.openxmlformats.org/officeDocument/2006/relationships/hyperlink" Target="consultantplus://offline/ref=896B0611561FEDB6FB121CC3BA2A853112240F3B32631E7723679CE230D0A67B8176AE7BBD88h0p1B" TargetMode="External"/><Relationship Id="rId10" Type="http://schemas.openxmlformats.org/officeDocument/2006/relationships/hyperlink" Target="consultantplus://offline/ref=896B0611561FEDB6FB121CC3BA2A853112240E3A326A1E7723679CE230D0A67B8176AE7BBE810970hDpCB" TargetMode="External"/><Relationship Id="rId19" Type="http://schemas.openxmlformats.org/officeDocument/2006/relationships/hyperlink" Target="consultantplus://offline/ref=896B0611561FEDB6FB121CC3BA2A853112240F3B32631E7723679CE230D0A67B8176AE7BBD84h0pC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96B0611561FEDB6FB121CC3BA2A853112240E3A326A1E7723679CE230D0A67B8176AE7BBE810978hDpDB" TargetMode="External"/><Relationship Id="rId14" Type="http://schemas.openxmlformats.org/officeDocument/2006/relationships/hyperlink" Target="consultantplus://offline/ref=896B0611561FEDB6FB121CC3BA2A853112240F3B32631E7723679CE230D0A67B8176AE7BBD84h0pEB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1601</Words>
  <Characters>9128</Characters>
  <Application>Microsoft Office Word</Application>
  <DocSecurity>0</DocSecurity>
  <Lines>76</Lines>
  <Paragraphs>21</Paragraphs>
  <ScaleCrop>false</ScaleCrop>
  <Company>Computer</Company>
  <LinksUpToDate>false</LinksUpToDate>
  <CharactersWithSpaces>10708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2014-12-11T06:26:00Z</dcterms:created>
  <dcterms:modified xsi:type="dcterms:W3CDTF">2014-12-11T06:26:00Z</dcterms:modified>
</cp:coreProperties>
</file>